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DD925">
      <w:pPr>
        <w:spacing w:before="240"/>
        <w:jc w:val="center"/>
        <w:rPr>
          <w:rFonts w:hint="default" w:ascii="Calibri" w:hAnsi="Calibri" w:eastAsia="Calibri" w:cs="Calibri"/>
          <w:b/>
          <w:sz w:val="24"/>
          <w:szCs w:val="24"/>
          <w:u w:val="single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03/2026</w:t>
      </w:r>
    </w:p>
    <w:p w14:paraId="07D3C9F2">
      <w:pPr>
        <w:spacing w:before="240"/>
        <w:jc w:val="center"/>
        <w:rPr>
          <w:rFonts w:hint="default" w:ascii="Calibri" w:hAnsi="Calibri" w:eastAsia="Calibri" w:cs="Calibri"/>
          <w:b/>
          <w:sz w:val="24"/>
          <w:szCs w:val="24"/>
          <w:u w:val="single"/>
        </w:rPr>
      </w:pPr>
      <w:r>
        <w:rPr>
          <w:rFonts w:hint="default" w:ascii="Calibri" w:hAnsi="Calibri" w:eastAsia="Calibri" w:cs="Calibri"/>
          <w:b/>
          <w:sz w:val="24"/>
          <w:szCs w:val="24"/>
          <w:u w:val="single"/>
        </w:rPr>
        <w:t xml:space="preserve">ANEXO </w:t>
      </w:r>
      <w:r>
        <w:rPr>
          <w:rFonts w:hint="default" w:ascii="Calibri" w:hAnsi="Calibri" w:eastAsia="Calibri" w:cs="Calibri"/>
          <w:b/>
          <w:sz w:val="24"/>
          <w:szCs w:val="24"/>
          <w:u w:val="single"/>
          <w:lang w:val="pt-BR"/>
        </w:rPr>
        <w:t>01</w:t>
      </w:r>
      <w:r>
        <w:rPr>
          <w:rFonts w:hint="default" w:ascii="Calibri" w:hAnsi="Calibri" w:eastAsia="Calibri" w:cs="Calibri"/>
          <w:b/>
          <w:sz w:val="24"/>
          <w:szCs w:val="24"/>
          <w:u w:val="single"/>
        </w:rPr>
        <w:t xml:space="preserve"> – CATEGORIAS</w:t>
      </w:r>
    </w:p>
    <w:p w14:paraId="7E1F8A53">
      <w:pPr>
        <w:spacing w:before="240"/>
        <w:jc w:val="center"/>
        <w:rPr>
          <w:rFonts w:hint="default" w:ascii="Calibri" w:hAnsi="Calibri" w:eastAsia="Calibri" w:cs="Calibri"/>
          <w:b/>
          <w:sz w:val="22"/>
          <w:szCs w:val="22"/>
        </w:rPr>
      </w:pPr>
    </w:p>
    <w:p w14:paraId="4D550DA8">
      <w:pPr>
        <w:pStyle w:val="31"/>
        <w:numPr>
          <w:ilvl w:val="0"/>
          <w:numId w:val="1"/>
        </w:numPr>
        <w:spacing w:before="240" w:after="200" w:line="276" w:lineRule="auto"/>
        <w:jc w:val="both"/>
        <w:rPr>
          <w:rFonts w:hint="default" w:ascii="Calibri" w:hAnsi="Calibri" w:eastAsia="Calibri" w:cs="Calibri"/>
          <w:b/>
          <w:sz w:val="22"/>
          <w:szCs w:val="22"/>
        </w:rPr>
      </w:pPr>
      <w:r>
        <w:rPr>
          <w:rFonts w:hint="default" w:ascii="Calibri" w:hAnsi="Calibri" w:eastAsia="Calibri" w:cs="Calibri"/>
          <w:b/>
          <w:sz w:val="22"/>
          <w:szCs w:val="22"/>
        </w:rPr>
        <w:t>RECURSOS DO EDITAL</w:t>
      </w:r>
    </w:p>
    <w:p w14:paraId="52F9CDE2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auto"/>
          <w:sz w:val="22"/>
          <w:szCs w:val="22"/>
          <w:vertAlign w:val="baseline"/>
          <w:rtl w:val="0"/>
          <w:lang w:val="pt-BR"/>
        </w:rPr>
      </w:pPr>
      <w:r>
        <w:rPr>
          <w:rFonts w:hint="default" w:ascii="Calibri" w:hAnsi="Calibri" w:eastAsia="Times New Roman" w:cs="Calibri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O presente edital possui valor total de </w:t>
      </w:r>
      <w:r>
        <w:rPr>
          <w:rFonts w:hint="default" w:ascii="Calibri" w:hAnsi="Calibri" w:eastAsia="Times New Roman" w:cs="Calibri"/>
          <w:b/>
          <w:bCs/>
          <w:color w:val="auto"/>
          <w:sz w:val="22"/>
          <w:szCs w:val="22"/>
          <w:vertAlign w:val="baseline"/>
          <w:rtl w:val="0"/>
        </w:rPr>
        <w:t xml:space="preserve">R$ 1.320.000,00 </w:t>
      </w:r>
      <w:r>
        <w:rPr>
          <w:rFonts w:hint="default" w:ascii="Calibri" w:hAnsi="Calibri" w:eastAsia="Times New Roman" w:cs="Calibri"/>
          <w:b w:val="0"/>
          <w:bCs w:val="0"/>
          <w:color w:val="auto"/>
          <w:sz w:val="22"/>
          <w:szCs w:val="22"/>
          <w:vertAlign w:val="baseline"/>
          <w:rtl w:val="0"/>
        </w:rPr>
        <w:t>(um milhão, trezentos e vinte mil reais)</w:t>
      </w:r>
      <w:r>
        <w:rPr>
          <w:rFonts w:hint="default" w:ascii="Calibri" w:hAnsi="Calibri" w:eastAsia="Times New Roman" w:cs="Calibri"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default" w:ascii="Calibri" w:hAnsi="Calibri" w:eastAsia="Times New Roman" w:cs="Calibri"/>
          <w:color w:val="auto"/>
          <w:sz w:val="22"/>
          <w:szCs w:val="22"/>
          <w:vertAlign w:val="baseline"/>
          <w:rtl w:val="0"/>
        </w:rPr>
        <w:t>distribuído em cinco faixas de apoio</w:t>
      </w:r>
      <w:r>
        <w:rPr>
          <w:rFonts w:hint="default" w:ascii="Calibri" w:hAnsi="Calibri" w:eastAsia="Times New Roman" w:cs="Calibri"/>
          <w:color w:val="auto"/>
          <w:sz w:val="22"/>
          <w:szCs w:val="22"/>
          <w:vertAlign w:val="baseline"/>
          <w:rtl w:val="0"/>
          <w:lang w:val="pt-BR"/>
        </w:rPr>
        <w:t>:</w:t>
      </w:r>
    </w:p>
    <w:p w14:paraId="44636683">
      <w:pPr>
        <w:spacing w:before="120" w:after="120" w:line="240" w:lineRule="auto"/>
        <w:ind w:left="120" w:right="120"/>
        <w:jc w:val="both"/>
        <w:rPr>
          <w:rFonts w:hint="default" w:ascii="Calibri" w:hAnsi="Calibri" w:eastAsia="Times New Roman" w:cs="Calibri"/>
          <w:color w:val="auto"/>
          <w:sz w:val="22"/>
          <w:szCs w:val="22"/>
          <w:vertAlign w:val="baseline"/>
          <w:rtl w:val="0"/>
          <w:lang w:val="pt-BR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4360"/>
      </w:tblGrid>
      <w:tr w14:paraId="5C94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  <w:gridSpan w:val="2"/>
            <w:shd w:val="clear" w:color="auto" w:fill="D7D7D7" w:themeFill="background1" w:themeFillShade="D8"/>
          </w:tcPr>
          <w:p w14:paraId="7154DC55">
            <w:pPr>
              <w:spacing w:before="120" w:after="120" w:line="240" w:lineRule="auto"/>
              <w:ind w:right="120"/>
              <w:jc w:val="center"/>
              <w:rPr>
                <w:rFonts w:hint="default" w:ascii="Calibri" w:hAnsi="Calibri" w:eastAsia="Times New Roman" w:cs="Calibri"/>
                <w:color w:val="auto"/>
                <w:sz w:val="22"/>
                <w:szCs w:val="22"/>
                <w:vertAlign w:val="baseline"/>
                <w:rtl w:val="0"/>
                <w:lang w:val="pt-BR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auto"/>
                <w:sz w:val="22"/>
                <w:szCs w:val="22"/>
                <w:shd w:val="clear" w:fill="D7D7D7" w:themeFill="background1" w:themeFillShade="D8"/>
                <w:vertAlign w:val="baseline"/>
                <w:rtl w:val="0"/>
                <w:lang w:val="pt-BR"/>
              </w:rPr>
              <w:t>FAIXAS DE APOIO</w:t>
            </w:r>
          </w:p>
        </w:tc>
      </w:tr>
      <w:tr w14:paraId="5A75E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  <w:vAlign w:val="top"/>
          </w:tcPr>
          <w:p w14:paraId="09FC62FE">
            <w:pPr>
              <w:spacing w:before="120" w:after="120" w:line="240" w:lineRule="auto"/>
              <w:ind w:right="12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2"/>
                <w:szCs w:val="22"/>
                <w:vertAlign w:val="baseline"/>
                <w:rtl w:val="0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</w:rPr>
              <w:t>R$ 10.000,00</w:t>
            </w:r>
          </w:p>
        </w:tc>
        <w:tc>
          <w:tcPr>
            <w:tcW w:w="4360" w:type="dxa"/>
            <w:vAlign w:val="top"/>
          </w:tcPr>
          <w:p w14:paraId="64A2C5B5">
            <w:pPr>
              <w:spacing w:before="120" w:after="120" w:line="240" w:lineRule="auto"/>
              <w:ind w:right="12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2"/>
                <w:szCs w:val="22"/>
                <w:vertAlign w:val="baseline"/>
                <w:rtl w:val="0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</w:rPr>
              <w:t xml:space="preserve">R$ </w:t>
            </w:r>
            <w:r>
              <w:rPr>
                <w:rFonts w:hint="default" w:ascii="Calibri" w:hAnsi="Calibri" w:cs="Calibri"/>
                <w:b/>
                <w:bCs/>
                <w:i w:val="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>50.000,00</w:t>
            </w:r>
          </w:p>
        </w:tc>
      </w:tr>
      <w:tr w14:paraId="6A3F3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  <w:vAlign w:val="top"/>
          </w:tcPr>
          <w:p w14:paraId="7FFEC969">
            <w:pPr>
              <w:spacing w:before="120" w:after="120" w:line="240" w:lineRule="auto"/>
              <w:ind w:right="12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2"/>
                <w:szCs w:val="22"/>
                <w:vertAlign w:val="baseline"/>
                <w:rtl w:val="0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</w:rPr>
              <w:t>R$ 2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5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</w:rPr>
              <w:t>.000,00</w:t>
            </w:r>
          </w:p>
        </w:tc>
        <w:tc>
          <w:tcPr>
            <w:tcW w:w="4360" w:type="dxa"/>
            <w:vAlign w:val="top"/>
          </w:tcPr>
          <w:p w14:paraId="15F05803">
            <w:pPr>
              <w:spacing w:before="120" w:after="120" w:line="240" w:lineRule="auto"/>
              <w:ind w:right="12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2"/>
                <w:szCs w:val="22"/>
                <w:vertAlign w:val="baseline"/>
                <w:rtl w:val="0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</w:rPr>
              <w:t xml:space="preserve">R$ </w:t>
            </w:r>
            <w:r>
              <w:rPr>
                <w:rFonts w:hint="default" w:ascii="Calibri" w:hAnsi="Calibri" w:cs="Calibri"/>
                <w:b/>
                <w:bCs/>
                <w:i w:val="0"/>
                <w:sz w:val="22"/>
                <w:szCs w:val="22"/>
                <w:highlight w:val="white"/>
                <w:u w:val="none"/>
                <w:vertAlign w:val="baseline"/>
                <w:rtl w:val="0"/>
                <w:lang w:val="pt-BR"/>
              </w:rPr>
              <w:t>100.000,00</w:t>
            </w:r>
          </w:p>
        </w:tc>
      </w:tr>
      <w:tr w14:paraId="42F5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  <w:vAlign w:val="top"/>
          </w:tcPr>
          <w:p w14:paraId="5F53C90A">
            <w:pPr>
              <w:spacing w:before="120" w:after="120" w:line="240" w:lineRule="auto"/>
              <w:ind w:right="120"/>
              <w:jc w:val="center"/>
              <w:rPr>
                <w:rFonts w:hint="default" w:ascii="Calibri" w:hAnsi="Calibri" w:eastAsia="Times New Roman" w:cs="Calibri"/>
                <w:b/>
                <w:bCs/>
                <w:color w:val="auto"/>
                <w:sz w:val="22"/>
                <w:szCs w:val="22"/>
                <w:vertAlign w:val="baseline"/>
                <w:rtl w:val="0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</w:rPr>
              <w:t>R$ 3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5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white"/>
                <w:vertAlign w:val="baseline"/>
                <w:rtl w:val="0"/>
              </w:rPr>
              <w:t>.000,00</w:t>
            </w:r>
          </w:p>
        </w:tc>
        <w:tc>
          <w:tcPr>
            <w:tcW w:w="4360" w:type="dxa"/>
            <w:vAlign w:val="top"/>
          </w:tcPr>
          <w:p w14:paraId="66D9DF06">
            <w:pPr>
              <w:spacing w:before="120" w:after="120" w:line="240" w:lineRule="auto"/>
              <w:ind w:right="120"/>
              <w:jc w:val="center"/>
              <w:rPr>
                <w:rFonts w:hint="default" w:ascii="Calibri" w:hAnsi="Calibri" w:eastAsia="Times New Roman" w:cs="Calibri"/>
                <w:color w:val="auto"/>
                <w:sz w:val="22"/>
                <w:szCs w:val="22"/>
                <w:vertAlign w:val="baseline"/>
                <w:rtl w:val="0"/>
                <w:lang w:val="pt-BR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2"/>
                <w:szCs w:val="22"/>
                <w:vertAlign w:val="baseline"/>
                <w:rtl w:val="0"/>
                <w:lang w:val="pt-BR"/>
              </w:rPr>
              <w:t>-</w:t>
            </w:r>
          </w:p>
        </w:tc>
      </w:tr>
    </w:tbl>
    <w:p w14:paraId="1756A5C3">
      <w:pPr>
        <w:spacing w:before="120" w:after="120" w:line="240" w:lineRule="auto"/>
        <w:ind w:right="120"/>
        <w:jc w:val="both"/>
        <w:rPr>
          <w:rFonts w:hint="default" w:ascii="Calibri" w:hAnsi="Calibri" w:eastAsia="Times New Roman" w:cs="Calibri"/>
          <w:color w:val="auto"/>
          <w:sz w:val="22"/>
          <w:szCs w:val="22"/>
          <w:vertAlign w:val="baseline"/>
          <w:rtl w:val="0"/>
          <w:lang w:val="pt-BR"/>
        </w:rPr>
      </w:pPr>
    </w:p>
    <w:p w14:paraId="3F83485E">
      <w:pPr>
        <w:pStyle w:val="2"/>
        <w:numPr>
          <w:ilvl w:val="0"/>
          <w:numId w:val="2"/>
        </w:numPr>
        <w:tabs>
          <w:tab w:val="left" w:pos="665"/>
          <w:tab w:val="clear" w:pos="420"/>
        </w:tabs>
        <w:spacing w:before="0"/>
        <w:ind w:left="420" w:leftChars="0" w:hanging="420" w:firstLineChars="0"/>
        <w:jc w:val="both"/>
        <w:rPr>
          <w:rFonts w:hint="default" w:ascii="Calibri" w:hAnsi="Calibri" w:eastAsia="Arial Nova" w:cs="Calibri"/>
          <w:b/>
          <w:bCs/>
          <w:color w:val="auto"/>
          <w:sz w:val="22"/>
          <w:szCs w:val="22"/>
          <w:lang w:val="pt"/>
        </w:rPr>
      </w:pPr>
      <w:r>
        <w:rPr>
          <w:rFonts w:hint="default" w:ascii="Calibri" w:hAnsi="Calibri" w:eastAsia="Arial Nova" w:cs="Calibri"/>
          <w:b/>
          <w:bCs/>
          <w:color w:val="auto"/>
          <w:sz w:val="22"/>
          <w:szCs w:val="22"/>
          <w:lang w:val="pt"/>
        </w:rPr>
        <w:t>DISTRIBUIÇÃO DE VAGAS E VALORES</w:t>
      </w:r>
    </w:p>
    <w:p w14:paraId="32E63829">
      <w:pPr>
        <w:spacing w:before="2" w:after="0"/>
        <w:jc w:val="both"/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  <w:lang w:val="pt-BR"/>
        </w:rPr>
      </w:pPr>
      <w:r>
        <w:rPr>
          <w:rFonts w:hint="default" w:ascii="Calibri" w:hAnsi="Calibri" w:eastAsia="Arial Nova" w:cs="Calibri"/>
          <w:b w:val="0"/>
          <w:bCs w:val="0"/>
          <w:sz w:val="22"/>
          <w:szCs w:val="22"/>
          <w:lang w:val="pt-BR"/>
        </w:rPr>
        <w:t xml:space="preserve">Em atendimento ao disposto no 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</w:rPr>
        <w:t>A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  <w:lang w:val="pt-BR"/>
        </w:rPr>
        <w:t>rt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</w:rPr>
        <w:t xml:space="preserve">. 6º 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  <w:lang w:val="pt-BR"/>
        </w:rPr>
        <w:t>da IN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</w:rPr>
        <w:t xml:space="preserve"> 10/2023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  <w:lang w:val="pt-BR"/>
        </w:rPr>
        <w:t xml:space="preserve">, que garante 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</w:rPr>
        <w:t>cotas em todos os editais de fomento realizados com recursos da Lei nº 14.399, de 2022</w:t>
      </w:r>
      <w:r>
        <w:rPr>
          <w:rFonts w:hint="default" w:ascii="Calibri" w:hAnsi="Calibri" w:eastAsia="Calibri" w:cs="Calibri"/>
          <w:b w:val="0"/>
          <w:bCs w:val="0"/>
          <w:sz w:val="22"/>
          <w:szCs w:val="22"/>
          <w:highlight w:val="none"/>
          <w:lang w:val="pt-BR"/>
        </w:rPr>
        <w:t>, ficam as vagas distribuídas conforme abaixo:</w:t>
      </w:r>
    </w:p>
    <w:p w14:paraId="40068D36">
      <w:pPr>
        <w:spacing w:before="2" w:after="0"/>
        <w:rPr>
          <w:rFonts w:hint="default" w:ascii="Calibri" w:hAnsi="Calibri" w:eastAsia="Calibri" w:cs="Calibri"/>
          <w:b w:val="0"/>
          <w:bCs w:val="0"/>
          <w:sz w:val="22"/>
          <w:szCs w:val="22"/>
          <w:highlight w:val="yellow"/>
          <w:lang w:val="pt-BR"/>
        </w:rPr>
      </w:pPr>
    </w:p>
    <w:tbl>
      <w:tblPr>
        <w:tblStyle w:val="41"/>
        <w:tblW w:w="920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4"/>
        <w:gridCol w:w="1010"/>
        <w:gridCol w:w="1221"/>
        <w:gridCol w:w="729"/>
        <w:gridCol w:w="879"/>
        <w:gridCol w:w="1714"/>
        <w:gridCol w:w="2143"/>
      </w:tblGrid>
      <w:tr w14:paraId="574BF9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2B564288">
            <w:pPr>
              <w:bidi w:val="0"/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  <w:lang w:val="pt-BR"/>
              </w:rPr>
              <w:t xml:space="preserve"> 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>VAGAS AMPLA CONCORRÊNCIA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  <w:lang w:val="pt-BR"/>
              </w:rPr>
              <w:t xml:space="preserve"> (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>Q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  <w:lang w:val="pt-BR"/>
              </w:rPr>
              <w:t>UANTIDADE)</w:t>
            </w:r>
          </w:p>
        </w:tc>
        <w:tc>
          <w:tcPr>
            <w:tcW w:w="1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72A43D0E">
            <w:pPr>
              <w:bidi w:val="0"/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>COTAS PESSOAS NEGRAS</w:t>
            </w: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15CE7A16">
            <w:pPr>
              <w:bidi w:val="0"/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 xml:space="preserve">COTAS 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  <w:lang w:val="pt-BR"/>
              </w:rPr>
              <w:t xml:space="preserve">PESSOAS 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>INDÍGENAS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245F742A">
            <w:pPr>
              <w:bidi w:val="0"/>
              <w:ind w:left="0" w:leftChars="0" w:firstLine="0" w:firstLineChars="0"/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lang w:val="pt-BR"/>
              </w:rPr>
              <w:t>COTAS PCD</w:t>
            </w:r>
          </w:p>
        </w:tc>
        <w:tc>
          <w:tcPr>
            <w:tcW w:w="8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4EA957B6">
            <w:pPr>
              <w:bidi w:val="0"/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>TOTAL DE VAGAS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2E2E3458">
            <w:pPr>
              <w:bidi w:val="0"/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>VALOR MÁXIMO POR PROJETO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5D2BE50D">
            <w:pPr>
              <w:bidi w:val="0"/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vertAlign w:val="baseline"/>
                <w:rtl w:val="0"/>
              </w:rPr>
              <w:t>VALOR TOTAL</w:t>
            </w:r>
          </w:p>
        </w:tc>
      </w:tr>
      <w:tr w14:paraId="624AD8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953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1</w:t>
            </w:r>
          </w:p>
        </w:tc>
        <w:tc>
          <w:tcPr>
            <w:tcW w:w="1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8F4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0</w:t>
            </w: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4FB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4B4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0</w:t>
            </w:r>
          </w:p>
        </w:tc>
        <w:tc>
          <w:tcPr>
            <w:tcW w:w="8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473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1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27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 xml:space="preserve">R$ </w:t>
            </w:r>
            <w:r>
              <w:rPr>
                <w:rFonts w:hint="default" w:ascii="Calibri" w:hAnsi="Calibri" w:cs="Calibri"/>
                <w:i w:val="0"/>
                <w:sz w:val="22"/>
                <w:szCs w:val="22"/>
                <w:highlight w:val="white"/>
                <w:u w:val="none"/>
                <w:vertAlign w:val="baseline"/>
                <w:rtl w:val="0"/>
                <w:lang w:val="pt-BR"/>
              </w:rPr>
              <w:t>100.000,00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0E7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 xml:space="preserve">R$ 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100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.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000,0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0</w:t>
            </w:r>
          </w:p>
        </w:tc>
      </w:tr>
      <w:tr w14:paraId="5F67F0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160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  <w:lang w:val="pt-BR"/>
              </w:rPr>
              <w:t>2</w:t>
            </w:r>
          </w:p>
        </w:tc>
        <w:tc>
          <w:tcPr>
            <w:tcW w:w="1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3F5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  <w:lang w:val="pt-BR"/>
              </w:rPr>
              <w:t>2</w:t>
            </w: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E84C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  <w:rtl w:val="0"/>
              </w:rPr>
              <w:t>1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45A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none"/>
                <w:vertAlign w:val="baseline"/>
                <w:rtl w:val="0"/>
              </w:rPr>
              <w:t>1</w:t>
            </w:r>
          </w:p>
        </w:tc>
        <w:tc>
          <w:tcPr>
            <w:tcW w:w="8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AE4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6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03C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 xml:space="preserve">R$ </w:t>
            </w:r>
            <w:r>
              <w:rPr>
                <w:rFonts w:hint="default" w:ascii="Calibri" w:hAnsi="Calibri" w:cs="Calibri"/>
                <w:i w:val="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>50.000,00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8D4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R$ 3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0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0.000,00</w:t>
            </w:r>
          </w:p>
        </w:tc>
      </w:tr>
      <w:tr w14:paraId="3238CA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65F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8</w:t>
            </w:r>
          </w:p>
        </w:tc>
        <w:tc>
          <w:tcPr>
            <w:tcW w:w="1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E4C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4</w:t>
            </w: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199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2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19B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1</w:t>
            </w:r>
          </w:p>
        </w:tc>
        <w:tc>
          <w:tcPr>
            <w:tcW w:w="8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821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1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5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A17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R$ 3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5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.000,00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CC9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R$ 5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25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.000,00</w:t>
            </w:r>
          </w:p>
        </w:tc>
      </w:tr>
      <w:tr w14:paraId="783A2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5CB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8</w:t>
            </w:r>
          </w:p>
        </w:tc>
        <w:tc>
          <w:tcPr>
            <w:tcW w:w="1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B8B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4</w:t>
            </w: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8DF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2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D46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1</w:t>
            </w:r>
          </w:p>
        </w:tc>
        <w:tc>
          <w:tcPr>
            <w:tcW w:w="8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211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1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5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A0B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R$ 2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5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.000,00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19CA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R$ 3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75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.000,00</w:t>
            </w:r>
          </w:p>
        </w:tc>
      </w:tr>
      <w:tr w14:paraId="2F8664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212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1</w:t>
            </w:r>
          </w:p>
        </w:tc>
        <w:tc>
          <w:tcPr>
            <w:tcW w:w="1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647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1</w:t>
            </w:r>
          </w:p>
        </w:tc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339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0</w:t>
            </w:r>
          </w:p>
        </w:tc>
        <w:tc>
          <w:tcPr>
            <w:tcW w:w="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E8C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0</w:t>
            </w:r>
          </w:p>
        </w:tc>
        <w:tc>
          <w:tcPr>
            <w:tcW w:w="8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80C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lang w:val="pt-BR"/>
              </w:rPr>
              <w:t>2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776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R$ 10.000,00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9DE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</w:rPr>
            </w:pP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 xml:space="preserve">R$ 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  <w:lang w:val="pt-BR"/>
              </w:rPr>
              <w:t>20</w:t>
            </w:r>
            <w:r>
              <w:rPr>
                <w:rFonts w:hint="default" w:ascii="Calibri" w:hAnsi="Calibri" w:cs="Calibri"/>
                <w:sz w:val="22"/>
                <w:szCs w:val="22"/>
                <w:highlight w:val="white"/>
                <w:vertAlign w:val="baseline"/>
                <w:rtl w:val="0"/>
              </w:rPr>
              <w:t>.000,00</w:t>
            </w:r>
          </w:p>
        </w:tc>
      </w:tr>
      <w:tr w14:paraId="59C5E9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6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663E2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</w:rPr>
              <w:t>TOTAL</w:t>
            </w:r>
          </w:p>
        </w:tc>
        <w:tc>
          <w:tcPr>
            <w:tcW w:w="8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4E431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lang w:val="pt-BR"/>
              </w:rPr>
            </w:pP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lang w:val="pt-BR"/>
              </w:rPr>
              <w:t>39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4EB97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</w:rPr>
              <w:t>-</w:t>
            </w:r>
          </w:p>
        </w:tc>
        <w:tc>
          <w:tcPr>
            <w:tcW w:w="2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4246E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</w:rPr>
            </w:pP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</w:rPr>
              <w:t>R$ 1.3</w:t>
            </w: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  <w:lang w:val="pt-BR"/>
              </w:rPr>
              <w:t>20</w:t>
            </w: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</w:rPr>
              <w:t>.</w:t>
            </w: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  <w:lang w:val="pt-BR"/>
              </w:rPr>
              <w:t>00</w:t>
            </w: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</w:rPr>
              <w:t>0,</w:t>
            </w: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  <w:lang w:val="pt-BR"/>
              </w:rPr>
              <w:t>0</w:t>
            </w:r>
            <w:r>
              <w:rPr>
                <w:rFonts w:hint="default" w:ascii="Calibri" w:hAnsi="Calibri" w:cs="Calibri"/>
                <w:b/>
                <w:sz w:val="22"/>
                <w:szCs w:val="22"/>
                <w:highlight w:val="none"/>
                <w:vertAlign w:val="baseline"/>
                <w:rtl w:val="0"/>
              </w:rPr>
              <w:t>0</w:t>
            </w:r>
          </w:p>
        </w:tc>
      </w:tr>
    </w:tbl>
    <w:p w14:paraId="20A73EA4">
      <w:pPr>
        <w:spacing w:after="0" w:line="276" w:lineRule="auto"/>
        <w:ind w:left="420" w:right="259"/>
        <w:jc w:val="both"/>
        <w:rPr>
          <w:rFonts w:hint="default" w:ascii="Calibri" w:hAnsi="Calibri" w:eastAsia="Calibri" w:cs="Calibri"/>
          <w:color w:val="FF0000"/>
          <w:sz w:val="22"/>
          <w:szCs w:val="22"/>
          <w:lang w:val="pt"/>
        </w:rPr>
      </w:pPr>
    </w:p>
    <w:p w14:paraId="7B170959">
      <w:pPr>
        <w:tabs>
          <w:tab w:val="left" w:pos="9020"/>
        </w:tabs>
        <w:spacing w:after="0" w:line="240" w:lineRule="auto"/>
        <w:ind w:right="6" w:right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>No caso de não existirem candidatos aptos em número suficiente para o cumprimento das vagas reservadas a determinada categoria de cotas, as vagas remanescentes deverão ser destinadas, nesta ordem:</w:t>
      </w:r>
    </w:p>
    <w:p w14:paraId="5DD056AE">
      <w:pPr>
        <w:tabs>
          <w:tab w:val="left" w:pos="9020"/>
        </w:tabs>
        <w:spacing w:after="0" w:line="240" w:lineRule="auto"/>
        <w:ind w:right="6" w:right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2EEA4D4B">
      <w:pPr>
        <w:tabs>
          <w:tab w:val="left" w:pos="9020"/>
        </w:tabs>
        <w:spacing w:after="0" w:line="240" w:lineRule="auto"/>
        <w:ind w:left="0" w:leftChars="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vagas reservadas a candidatos autodeclarados Pretos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-BR"/>
        </w:rPr>
        <w:t xml:space="preserve"> 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>ou Pardos serão destinadas, prioritariamente, a candidatos autodeclarados Indígenas;</w:t>
      </w:r>
    </w:p>
    <w:p w14:paraId="35975207">
      <w:pPr>
        <w:tabs>
          <w:tab w:val="left" w:pos="9020"/>
        </w:tabs>
        <w:spacing w:after="0" w:line="240" w:lineRule="auto"/>
        <w:ind w:left="0" w:leftChars="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1A3AB82E">
      <w:pPr>
        <w:tabs>
          <w:tab w:val="left" w:pos="9020"/>
        </w:tabs>
        <w:spacing w:after="0" w:line="240" w:lineRule="auto"/>
        <w:ind w:left="0" w:leftChars="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II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vagas reservadas a candidatos autodeclarados Indígenas serão destinadas a candidatos inscritos como Pessoas com Deficiência (PcD);</w:t>
      </w:r>
    </w:p>
    <w:p w14:paraId="09737A91">
      <w:pPr>
        <w:tabs>
          <w:tab w:val="left" w:pos="9020"/>
        </w:tabs>
        <w:spacing w:after="0" w:line="240" w:lineRule="auto"/>
        <w:ind w:left="0" w:leftChars="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078BDD00">
      <w:pPr>
        <w:tabs>
          <w:tab w:val="left" w:pos="9020"/>
        </w:tabs>
        <w:spacing w:after="0" w:line="240" w:lineRule="auto"/>
        <w:ind w:left="0" w:leftChars="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III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vagas reservadas a candidatos(as) PcD serão destinadas a candidatos autodeclarados Pretos ou Pardos;</w:t>
      </w:r>
    </w:p>
    <w:p w14:paraId="5BDECA7D">
      <w:pPr>
        <w:tabs>
          <w:tab w:val="left" w:pos="9020"/>
        </w:tabs>
        <w:spacing w:after="0" w:line="240" w:lineRule="auto"/>
        <w:ind w:left="0" w:leftChars="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38E25C86">
      <w:pPr>
        <w:tabs>
          <w:tab w:val="left" w:pos="9020"/>
        </w:tabs>
        <w:spacing w:after="0" w:line="240" w:lineRule="auto"/>
        <w:ind w:left="0" w:leftChars="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lang w:val="pt"/>
        </w:rPr>
        <w:t>IV –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 xml:space="preserve"> inexistindo candidatos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-BR"/>
        </w:rPr>
        <w:t xml:space="preserve"> </w:t>
      </w:r>
      <w:r>
        <w:rPr>
          <w:rFonts w:hint="default" w:ascii="Calibri" w:hAnsi="Calibri" w:eastAsia="Calibri" w:cs="Calibri"/>
          <w:color w:val="auto"/>
          <w:sz w:val="22"/>
          <w:szCs w:val="22"/>
          <w:lang w:val="pt"/>
        </w:rPr>
        <w:t>aptos em quaisquer das categorias de cotas, as vagas remanescentes serão revertidas para a ampla concorrência.</w:t>
      </w:r>
    </w:p>
    <w:p w14:paraId="341548D6">
      <w:pPr>
        <w:tabs>
          <w:tab w:val="left" w:pos="9020"/>
        </w:tabs>
        <w:spacing w:after="0" w:line="240" w:lineRule="auto"/>
        <w:ind w:left="880" w:leftChars="400" w:right="6" w:rightChars="0" w:firstLine="0" w:firstLineChars="0"/>
        <w:jc w:val="both"/>
        <w:rPr>
          <w:rFonts w:hint="default" w:ascii="Calibri" w:hAnsi="Calibri" w:eastAsia="Calibri" w:cs="Calibri"/>
          <w:color w:val="auto"/>
          <w:sz w:val="22"/>
          <w:szCs w:val="22"/>
          <w:lang w:val="pt"/>
        </w:rPr>
      </w:pPr>
    </w:p>
    <w:p w14:paraId="5F04624F">
      <w:pPr>
        <w:pStyle w:val="31"/>
        <w:numPr>
          <w:ilvl w:val="0"/>
          <w:numId w:val="3"/>
        </w:numPr>
        <w:spacing w:before="240" w:after="200" w:line="276" w:lineRule="auto"/>
        <w:jc w:val="both"/>
        <w:rPr>
          <w:rFonts w:hint="default" w:ascii="Calibri" w:hAnsi="Calibri" w:eastAsia="Calibri" w:cs="Calibri"/>
          <w:b/>
          <w:sz w:val="22"/>
          <w:szCs w:val="22"/>
        </w:rPr>
      </w:pPr>
      <w:r>
        <w:rPr>
          <w:rFonts w:hint="default" w:ascii="Calibri" w:hAnsi="Calibri" w:eastAsia="Calibri" w:cs="Calibri"/>
          <w:b/>
          <w:sz w:val="22"/>
          <w:szCs w:val="22"/>
        </w:rPr>
        <w:t>DESCRIÇÃO DAS CATEGORIAS</w:t>
      </w:r>
    </w:p>
    <w:p w14:paraId="008D4948"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  <w:lang w:val="pt-BR"/>
        </w:rPr>
        <w:t>Para a participação neste Edital, p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oderão ser encaminhados projetos culturais das seguintes categorias:</w:t>
      </w:r>
    </w:p>
    <w:p w14:paraId="49F07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b/>
          <w:color w:val="000000"/>
          <w:sz w:val="22"/>
          <w:szCs w:val="22"/>
          <w:vertAlign w:val="baseline"/>
          <w:rtl w:val="0"/>
        </w:rPr>
      </w:pPr>
    </w:p>
    <w:p w14:paraId="71E85FDC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DANÇ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  <w:lang w:val="pt-BR"/>
        </w:rPr>
        <w:t>A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Podem concorrer nesta categoria projetos que demonstrem predominância na área de dança, em qualquer modalidade, a exemplo de: dança contemporânea; danças urbanas; danças populares e tradicionais; dança moderna; dança clássica, entre outras.</w:t>
      </w:r>
    </w:p>
    <w:p w14:paraId="34F7B2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63026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790698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32062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produção de espetáculos de dança;</w:t>
      </w:r>
    </w:p>
    <w:p w14:paraId="383B0A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2738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>II –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ações de qualificação, formação, tais como realização de oficinas, cursos, ações educativas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 xml:space="preserve"> à população de baixa renda, de regiões periféricas.</w:t>
      </w:r>
    </w:p>
    <w:p w14:paraId="6512CD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</w:p>
    <w:p w14:paraId="675A15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III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realização de eventos, mostras e festivais de dança;</w:t>
      </w:r>
    </w:p>
    <w:p w14:paraId="372576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3EBAB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publicações na área da dança ou</w:t>
      </w:r>
    </w:p>
    <w:p w14:paraId="538A2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B49D2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 objeto com predominância na área da dança.</w:t>
      </w:r>
    </w:p>
    <w:p w14:paraId="668D4A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b/>
          <w:sz w:val="22"/>
          <w:szCs w:val="22"/>
          <w:rtl w:val="0"/>
        </w:rPr>
      </w:pPr>
    </w:p>
    <w:p w14:paraId="273136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b/>
          <w:sz w:val="22"/>
          <w:szCs w:val="22"/>
          <w:rtl w:val="0"/>
        </w:rPr>
      </w:pPr>
    </w:p>
    <w:p w14:paraId="18F276A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MÚSICA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Podem concorrer nesta categoria projetos que demonstrem predominância na área de música, envolvendo a criação, difusão e acesso de uma maneira ampla, incluindo os diversos gêneros musicais e estilos.</w:t>
      </w:r>
    </w:p>
    <w:p w14:paraId="48584F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A7DDA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5BB5CB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5BBC9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produção de eventos musicais: produção e realização de espetáculos musicais de músicos, bandas, grupos;</w:t>
      </w:r>
    </w:p>
    <w:p w14:paraId="260D60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05410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>II –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formação musical: ações de qualificação, formação, tais como realização de oficinas, cursos, ações educativas 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>à população de baixa renda, de regiões periféricas.</w:t>
      </w:r>
    </w:p>
    <w:p w14:paraId="2E3CBE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</w:p>
    <w:p w14:paraId="68D6DF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gravações de álbuns musicais;</w:t>
      </w:r>
    </w:p>
    <w:p w14:paraId="294A40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DEDD4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criação de obras musicais;</w:t>
      </w:r>
    </w:p>
    <w:p w14:paraId="1FFACE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339837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realização de eventos, mostras e festivais musicais; </w:t>
      </w:r>
    </w:p>
    <w:p w14:paraId="69A7E8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2E83E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publicações na área da música; ou</w:t>
      </w:r>
    </w:p>
    <w:p w14:paraId="26C21D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80" w:leftChars="40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70195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VII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 objeto com predominância na área da música.</w:t>
      </w:r>
    </w:p>
    <w:p w14:paraId="30A7D3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C3A03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6689D8C4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  <w:lang w:val="pt-BR"/>
        </w:rPr>
        <w:t>ARTES CÊNICAS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Podem concorrer nesta categoria projetos que demonstrem predominância na área de artes cênicas (teatro), incluindo teatro 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>infanto juvenil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, teatro musical, dentre outros. </w:t>
      </w:r>
    </w:p>
    <w:p w14:paraId="64AB88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3D4A1B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1CCEC7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D9E5A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montagem, produção e circulação de espetáculos teatrais;</w:t>
      </w:r>
    </w:p>
    <w:p w14:paraId="6AC950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F26C7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 xml:space="preserve">II - 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>ações de capacitação, formação e qualificação tais como oficinas, cursos, ações educativas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 xml:space="preserve"> à população de baixa renda, de regiões periféricas.</w:t>
      </w:r>
    </w:p>
    <w:p w14:paraId="388F0E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</w:p>
    <w:p w14:paraId="74BC27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realização de mostras e festivais; </w:t>
      </w:r>
    </w:p>
    <w:p w14:paraId="3539F0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024FA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publicações na área do teatro; ou</w:t>
      </w:r>
    </w:p>
    <w:p w14:paraId="561BE3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33D8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 xml:space="preserve">V –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outro objeto com predominância na área de teatro.</w:t>
      </w:r>
    </w:p>
    <w:p w14:paraId="5DCB9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9603B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4EB9CD0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firstLine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ARTES PLÁSTICAS E VISUAIS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Podem concorrer nesta categoria projetos que demonstrem predominância na área de artes plásticas e visuais nas linguagens do desenho, pintura, escultura, gravura, objeto, instalação, intervenção urbana, performance, arte computacional ou outras linguagens do campo da arte contemporânea atual.</w:t>
      </w:r>
    </w:p>
    <w:p w14:paraId="3E16E0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61B889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192845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2B108F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realização de exposição ou feiras de artes;</w:t>
      </w:r>
    </w:p>
    <w:p w14:paraId="65D794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2944D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>II -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ações de capacitação, formação e qualificação tais como oficinas, cursos, ações educativas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 xml:space="preserve"> à população de baixa renda, de regiões periféricas.</w:t>
      </w:r>
    </w:p>
    <w:p w14:paraId="6F2787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</w:p>
    <w:p w14:paraId="4F523E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produção de obras de arte;</w:t>
      </w:r>
    </w:p>
    <w:p w14:paraId="3FF85C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3160D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publicações na área de artes plásticas e visuais; ou</w:t>
      </w:r>
    </w:p>
    <w:p w14:paraId="4E2A70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34C20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outros projetos com predominância na área de artes plásticas e visuais.</w:t>
      </w:r>
    </w:p>
    <w:p w14:paraId="38287F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D4387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37074A9F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ARTESANATO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Podem concorrer nesta categoria projetos que demonstrem predominância na área de artesanato, que compreende a produção artesanal de objetos, obras e bens.</w:t>
      </w:r>
    </w:p>
    <w:p w14:paraId="78A627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C7262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70C378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29AD3E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realização de feiras, mostras, exposições;</w:t>
      </w:r>
    </w:p>
    <w:p w14:paraId="465397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34713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produção de peças artesanais;</w:t>
      </w:r>
    </w:p>
    <w:p w14:paraId="597A79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752FC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>III –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ações de qualificação, formação, tais como realização de oficinas, cursos, ações educativas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 xml:space="preserve"> à população de baixa renda, de regiões periféricas.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</w:t>
      </w:r>
    </w:p>
    <w:p w14:paraId="1CADF8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</w:pPr>
    </w:p>
    <w:p w14:paraId="32888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publicações na área de artesanato; ou</w:t>
      </w:r>
    </w:p>
    <w:p w14:paraId="54B855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6674D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 objeto com predominância na área do artesanato.</w:t>
      </w:r>
    </w:p>
    <w:p w14:paraId="3B69CE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2BD04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B0E9EF0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LITERATURA, ESCRITA E ORALIDADE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Podem concorrer nesta categoria projetos que demonstrem predominância na área da leitura, escrita e oralidade.</w:t>
      </w:r>
    </w:p>
    <w:p w14:paraId="7A3CD2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39168C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Os projetos podem ter como objeto: </w:t>
      </w:r>
    </w:p>
    <w:p w14:paraId="205F67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CBD28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 xml:space="preserve">I –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publicação de textos inéditos, em diversos gêneros e/ou formatos;</w:t>
      </w:r>
    </w:p>
    <w:p w14:paraId="799AC4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27A332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organização de eventos e demais atividades com foco na difusão da literatura, do Livro, da leitura e da oralidade, tais como feiras, mostras, saraus e batalhas de rimas;</w:t>
      </w:r>
    </w:p>
    <w:p w14:paraId="1C94AF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AAD7B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>III –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projetos de formação, como a realização de oficinas, cursos, ações educativas 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>à população de baixa renda, de regiões periféricas.</w:t>
      </w:r>
    </w:p>
    <w:p w14:paraId="3D0C20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</w:p>
    <w:p w14:paraId="4169E5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apoio à modernização e qualificação de espaços e serviços em bibliotecas comunitárias e pontos de leitura, ampliando o acesso à informação, à leitura e ao livro; </w:t>
      </w:r>
    </w:p>
    <w:p w14:paraId="6C967D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</w:pPr>
    </w:p>
    <w:p w14:paraId="19C45D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formação e circulação de contadores de histórias, mediador de leitura em bibliotecas, escolas, pontos de leitura ou espaços públicos;</w:t>
      </w:r>
    </w:p>
    <w:p w14:paraId="725F3F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EDA41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VI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 objeto com predominância nas áreas de leitura, escrita e oralidade.</w:t>
      </w:r>
    </w:p>
    <w:p w14:paraId="17718A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771DD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2D72592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PATRIMÔNIO CULTURAL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Podem concorrer nesta categoria projetos que disponham sobre patrimônio cultural material ou imaterial, bens tombados e 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>registrados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, imóveis de relevância histórica e arquitetônica, ou as diversas manifestações, celebrações e saberes considerados expressões das tradições culturais que integram a Região. </w:t>
      </w:r>
    </w:p>
    <w:p w14:paraId="40E06D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E7297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24D7B5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16232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pesquisa, incluindo a elaboração de inventários;</w:t>
      </w:r>
    </w:p>
    <w:p w14:paraId="432747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D5223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publicação de trabalhos já concluídos, que visem à difusão e preservação da memória das várias identidades da região;</w:t>
      </w:r>
    </w:p>
    <w:p w14:paraId="53860E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ED823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educação patrimonial, por meio da realização de seminários, fóruns, palestras, minicursos e cursos, aulas, oficinas, simpósios, congressos, encontros, exposições, apresentações culturais, ou quaisquer ações comunitárias que visem à difusão, promoção e preservação da memória das várias identidades que constituem;</w:t>
      </w:r>
    </w:p>
    <w:p w14:paraId="52B683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29D566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exposições, criação de catálogo;</w:t>
      </w:r>
    </w:p>
    <w:p w14:paraId="3FC4ED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EBF19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 xml:space="preserve">V –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elaboração de material educativo; ou</w:t>
      </w:r>
    </w:p>
    <w:p w14:paraId="341D1F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2EFA98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 objeto relacionado ao patrimônio cultural material ou imaterial.</w:t>
      </w:r>
    </w:p>
    <w:p w14:paraId="66DF4C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8656A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EB842CC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CIRCO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Podem concorrer nesta categoria projetos que demonstrem predominância na área de artes cênicas (Circo), incluindo circos de lona, artistas, grupos ou trupes de circo, projetos sociais que 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>utilizam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a linguagem circense, dentre outros. </w:t>
      </w:r>
    </w:p>
    <w:p w14:paraId="32F483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607887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3553A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manutenção e recomposição da infraestrutura circense;</w:t>
      </w:r>
    </w:p>
    <w:p w14:paraId="6CE608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30BAC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montagem, produção e circulação de espetáculos circenses;</w:t>
      </w:r>
    </w:p>
    <w:p w14:paraId="20DC9B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27BF0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>III –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ações de capacitação, formação e qualificação tais como oficinas, cursos, ações educativas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 xml:space="preserve"> à população de baixa renda, de regiões periféricas.</w:t>
      </w:r>
    </w:p>
    <w:p w14:paraId="7CD5F0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</w:p>
    <w:p w14:paraId="72AE95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realização de mostras e festivais; </w:t>
      </w:r>
    </w:p>
    <w:p w14:paraId="223E0E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C38FD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publicações na área do circo; ou</w:t>
      </w:r>
    </w:p>
    <w:p w14:paraId="1B510F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2A7434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VI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 objeto com predominância na área de circo.</w:t>
      </w:r>
    </w:p>
    <w:p w14:paraId="742E82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5C6A24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49B12C3A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 xml:space="preserve">PROJETOS 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  <w:lang w:val="pt-BR"/>
        </w:rPr>
        <w:t>L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single"/>
          <w:vertAlign w:val="baseline"/>
          <w:rtl w:val="0"/>
        </w:rPr>
        <w:t>IVRES</w:t>
      </w:r>
      <w:r>
        <w:rPr>
          <w:rFonts w:hint="default" w:ascii="Calibri" w:hAnsi="Calibri" w:eastAsia="Times New Roman" w:cs="Calibri"/>
          <w:b/>
          <w:color w:val="000000"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Podem concorrer nesta categoria projetos de qualquer linguagem artística/cultural não contemplada nominalmente nas outras categorias.</w:t>
      </w:r>
    </w:p>
    <w:p w14:paraId="7C44DE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F9256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17FE66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5ECEE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produção de eventos, apresentações e afins;</w:t>
      </w:r>
    </w:p>
    <w:p w14:paraId="644827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8F852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vertAlign w:val="baseline"/>
          <w:rtl w:val="0"/>
        </w:rPr>
        <w:t>II –</w:t>
      </w:r>
      <w:r>
        <w:rPr>
          <w:rFonts w:hint="default" w:ascii="Calibri" w:hAnsi="Calibri" w:eastAsia="Times New Roman" w:cs="Calibri"/>
          <w:sz w:val="22"/>
          <w:szCs w:val="22"/>
          <w:vertAlign w:val="baseline"/>
          <w:rtl w:val="0"/>
        </w:rPr>
        <w:t xml:space="preserve"> ações de qualificação, formação, tais como realização de oficinas, cursos, ações educativas</w:t>
      </w:r>
      <w:r>
        <w:rPr>
          <w:rFonts w:hint="default" w:ascii="Calibri" w:hAnsi="Calibri" w:eastAsia="Times New Roman" w:cs="Calibri"/>
          <w:sz w:val="22"/>
          <w:szCs w:val="22"/>
          <w:rtl w:val="0"/>
        </w:rPr>
        <w:t xml:space="preserve"> à população de baixa renda, de regiões periféricas.</w:t>
      </w:r>
    </w:p>
    <w:p w14:paraId="7478C4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rtl w:val="0"/>
        </w:rPr>
      </w:pPr>
    </w:p>
    <w:p w14:paraId="141832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III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realização de mostras, festas e festivais; ou</w:t>
      </w:r>
    </w:p>
    <w:p w14:paraId="5F0BA5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8919E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IV –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outro objeto cultural.</w:t>
      </w:r>
    </w:p>
    <w:p w14:paraId="062F21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DFC5D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73F2F61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firstLine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highlight w:val="none"/>
          <w:vertAlign w:val="baseline"/>
          <w:rtl w:val="0"/>
          <w:lang w:val="pt-BR"/>
        </w:rPr>
      </w:pPr>
      <w:r>
        <w:rPr>
          <w:rFonts w:hint="default" w:ascii="Calibri" w:hAnsi="Calibri" w:eastAsia="Times New Roman" w:cs="Calibri"/>
          <w:b/>
          <w:sz w:val="22"/>
          <w:szCs w:val="22"/>
          <w:u w:val="single"/>
          <w:vertAlign w:val="baseline"/>
          <w:rtl w:val="0"/>
        </w:rPr>
        <w:t>AUDIOVISUAL</w:t>
      </w:r>
      <w:r>
        <w:rPr>
          <w:rFonts w:hint="default" w:ascii="Calibri" w:hAnsi="Calibri" w:eastAsia="Times New Roman" w:cs="Calibri"/>
          <w:b/>
          <w:sz w:val="22"/>
          <w:szCs w:val="22"/>
          <w:u w:val="none"/>
          <w:vertAlign w:val="baseline"/>
          <w:rtl w:val="0"/>
          <w:lang w:val="pt-BR"/>
        </w:rPr>
        <w:t xml:space="preserve">: </w:t>
      </w:r>
      <w:r>
        <w:rPr>
          <w:rFonts w:hint="default" w:ascii="Calibri" w:hAnsi="Calibri" w:eastAsia="Times New Roman" w:cs="Calibri"/>
          <w:color w:val="000000"/>
          <w:sz w:val="22"/>
          <w:szCs w:val="22"/>
          <w:highlight w:val="none"/>
          <w:vertAlign w:val="baseline"/>
          <w:rtl w:val="0"/>
        </w:rPr>
        <w:t xml:space="preserve">Podem concorrer nesta categoria projetos que demonstrem predominância na área de </w:t>
      </w:r>
      <w:r>
        <w:rPr>
          <w:rFonts w:hint="default" w:ascii="Calibri" w:hAnsi="Calibri" w:eastAsia="Times New Roman" w:cs="Calibri"/>
          <w:color w:val="000000"/>
          <w:sz w:val="22"/>
          <w:szCs w:val="22"/>
          <w:highlight w:val="none"/>
          <w:vertAlign w:val="baseline"/>
          <w:rtl w:val="0"/>
          <w:lang w:val="pt-BR"/>
        </w:rPr>
        <w:t>audiovisual.</w:t>
      </w:r>
    </w:p>
    <w:p w14:paraId="10AB7C4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highlight w:val="none"/>
          <w:vertAlign w:val="baseline"/>
          <w:rtl w:val="0"/>
          <w:lang w:val="pt-BR"/>
        </w:rPr>
      </w:pPr>
    </w:p>
    <w:p w14:paraId="72AE919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projetos podem ter como objeto:</w:t>
      </w:r>
    </w:p>
    <w:p w14:paraId="195E234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  <w:lang w:val="pt-BR"/>
        </w:rPr>
      </w:pPr>
    </w:p>
    <w:p w14:paraId="0CCC2A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</w:rPr>
        <w:t>I -</w:t>
      </w:r>
      <w:r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  <w:t xml:space="preserve"> Produção de curtas e médias-metragens.</w:t>
      </w:r>
    </w:p>
    <w:p w14:paraId="1921A9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</w:p>
    <w:p w14:paraId="563B99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</w:rPr>
        <w:t>II</w:t>
      </w: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  <w:lang w:val="pt-BR"/>
        </w:rPr>
        <w:t xml:space="preserve"> </w:t>
      </w: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</w:rPr>
        <w:t>-</w:t>
      </w:r>
      <w:r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  <w:t xml:space="preserve"> Produção de videoclipes ou vídeo-artes.</w:t>
      </w:r>
    </w:p>
    <w:p w14:paraId="4A3A25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</w:p>
    <w:p w14:paraId="215BC5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</w:rPr>
        <w:t>III -</w:t>
      </w:r>
      <w:r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  <w:t xml:space="preserve"> Apoio à realização de ação de Cinema Itinerante.</w:t>
      </w:r>
    </w:p>
    <w:p w14:paraId="1DE83A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</w:p>
    <w:p w14:paraId="04DF05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</w:rPr>
        <w:t>IV -</w:t>
      </w:r>
      <w:r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  <w:t xml:space="preserve"> Apoio à realização de ação de Formação Audiovisual.</w:t>
      </w:r>
    </w:p>
    <w:p w14:paraId="2DD50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</w:p>
    <w:p w14:paraId="77C189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</w:rPr>
        <w:t>V -</w:t>
      </w:r>
      <w:r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  <w:t xml:space="preserve"> Apoio à Pesquisa sobre o audiovisual.</w:t>
      </w:r>
    </w:p>
    <w:p w14:paraId="48B283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</w:pPr>
    </w:p>
    <w:p w14:paraId="230E6E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leftChars="0" w:right="120" w:firstLine="0" w:firstLineChars="0"/>
        <w:jc w:val="both"/>
        <w:textAlignment w:val="top"/>
        <w:rPr>
          <w:rFonts w:hint="default" w:ascii="Calibri" w:hAnsi="Calibri" w:eastAsia="Times New Roman" w:cs="Calibri"/>
          <w:b w:val="0"/>
          <w:sz w:val="22"/>
          <w:szCs w:val="22"/>
          <w:highlight w:val="white"/>
          <w:u w:val="none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u w:val="none"/>
          <w:vertAlign w:val="baseline"/>
          <w:rtl w:val="0"/>
        </w:rPr>
        <w:t>VI -</w:t>
      </w:r>
      <w:r>
        <w:rPr>
          <w:rFonts w:hint="default" w:ascii="Calibri" w:hAnsi="Calibri" w:eastAsia="Times New Roman" w:cs="Calibri"/>
          <w:b w:val="0"/>
          <w:sz w:val="22"/>
          <w:szCs w:val="22"/>
          <w:u w:val="none"/>
          <w:vertAlign w:val="baseline"/>
          <w:rtl w:val="0"/>
        </w:rPr>
        <w:t xml:space="preserve"> Apoio a</w:t>
      </w:r>
      <w:r>
        <w:rPr>
          <w:rFonts w:hint="default" w:ascii="Calibri" w:hAnsi="Calibri" w:eastAsia="Times New Roman" w:cs="Calibri"/>
          <w:b w:val="0"/>
          <w:sz w:val="22"/>
          <w:szCs w:val="22"/>
          <w:highlight w:val="white"/>
          <w:u w:val="none"/>
          <w:vertAlign w:val="baseline"/>
          <w:rtl w:val="0"/>
        </w:rPr>
        <w:t xml:space="preserve"> mostras e festivais.</w:t>
      </w:r>
    </w:p>
    <w:p w14:paraId="10FD45A4">
      <w:pPr>
        <w:pStyle w:val="31"/>
        <w:numPr>
          <w:ilvl w:val="0"/>
          <w:numId w:val="0"/>
        </w:numPr>
        <w:spacing w:before="240" w:after="200" w:line="276" w:lineRule="auto"/>
        <w:ind w:left="0" w:leftChars="0" w:firstLine="0" w:firstLineChars="0"/>
        <w:jc w:val="both"/>
        <w:rPr>
          <w:rFonts w:hint="default" w:ascii="Calibri" w:hAnsi="Calibri" w:eastAsia="Calibri" w:cs="Calibri"/>
          <w:b/>
          <w:sz w:val="22"/>
          <w:szCs w:val="22"/>
        </w:rPr>
      </w:pPr>
      <w:r>
        <w:rPr>
          <w:rFonts w:hint="default" w:ascii="Calibri" w:hAnsi="Calibri" w:eastAsia="Times New Roman" w:cs="Calibri"/>
          <w:b/>
          <w:bCs/>
          <w:sz w:val="22"/>
          <w:szCs w:val="22"/>
          <w:highlight w:val="white"/>
          <w:rtl w:val="0"/>
        </w:rPr>
        <w:t>VII –</w:t>
      </w:r>
      <w:r>
        <w:rPr>
          <w:rFonts w:hint="default" w:ascii="Calibri" w:hAnsi="Calibri" w:eastAsia="Times New Roman" w:cs="Calibri"/>
          <w:sz w:val="22"/>
          <w:szCs w:val="22"/>
          <w:highlight w:val="white"/>
          <w:rtl w:val="0"/>
        </w:rPr>
        <w:t xml:space="preserve"> outro objeto cultural  com predominância na área de audiovisual.</w:t>
      </w:r>
    </w:p>
    <w:p w14:paraId="2FC536A8">
      <w:pPr>
        <w:spacing w:before="240" w:after="200" w:line="276" w:lineRule="auto"/>
        <w:jc w:val="both"/>
        <w:rPr>
          <w:rFonts w:hint="default" w:ascii="Calibri" w:hAnsi="Calibri" w:eastAsia="Calibri" w:cs="Calibri"/>
          <w:b/>
          <w:sz w:val="22"/>
          <w:szCs w:val="22"/>
        </w:rPr>
      </w:pPr>
    </w:p>
    <w:p w14:paraId="38545E2F">
      <w:pPr>
        <w:spacing w:after="200"/>
        <w:jc w:val="both"/>
        <w:rPr>
          <w:rFonts w:hint="default" w:ascii="Calibri" w:hAnsi="Calibri" w:eastAsia="Calibri" w:cs="Calibri"/>
          <w:color w:val="FF0000"/>
          <w:sz w:val="22"/>
          <w:szCs w:val="22"/>
        </w:rPr>
      </w:pPr>
    </w:p>
    <w:p w14:paraId="26425CD4">
      <w:pPr>
        <w:spacing w:before="240" w:after="200"/>
        <w:jc w:val="both"/>
        <w:rPr>
          <w:rFonts w:hint="default" w:ascii="Calibri" w:hAnsi="Calibri" w:eastAsia="Calibri" w:cs="Calibri"/>
          <w:sz w:val="22"/>
          <w:szCs w:val="22"/>
        </w:rPr>
      </w:pPr>
    </w:p>
    <w:p w14:paraId="22B2951D">
      <w:pPr>
        <w:shd w:val="clear" w:color="auto" w:fill="FFFFFF" w:themeFill="background1"/>
        <w:spacing w:after="300"/>
        <w:jc w:val="both"/>
        <w:rPr>
          <w:rFonts w:hint="default" w:ascii="Calibri" w:hAnsi="Calibri" w:eastAsia="Calibri" w:cs="Calibri"/>
          <w:color w:val="FF0000"/>
          <w:sz w:val="22"/>
          <w:szCs w:val="22"/>
        </w:rPr>
      </w:pPr>
    </w:p>
    <w:p w14:paraId="12CB4723">
      <w:pPr>
        <w:rPr>
          <w:rFonts w:hint="default" w:ascii="Calibri" w:hAnsi="Calibri" w:cs="Calibri"/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5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1383030</wp:posOffset>
          </wp:positionH>
          <wp:positionV relativeFrom="paragraph">
            <wp:posOffset>-175260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2294890</wp:posOffset>
          </wp:positionH>
          <wp:positionV relativeFrom="paragraph">
            <wp:posOffset>-182880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4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E53F6"/>
    <w:multiLevelType w:val="singleLevel"/>
    <w:tmpl w:val="F10E53F6"/>
    <w:lvl w:ilvl="0" w:tentative="0">
      <w:start w:val="1"/>
      <w:numFmt w:val="upperLetter"/>
      <w:suff w:val="space"/>
      <w:lvlText w:val="%1)"/>
      <w:lvlJc w:val="left"/>
      <w:rPr>
        <w:rFonts w:hint="default"/>
        <w:b/>
        <w:bCs/>
      </w:rPr>
    </w:lvl>
  </w:abstractNum>
  <w:abstractNum w:abstractNumId="1">
    <w:nsid w:val="FE1CD871"/>
    <w:multiLevelType w:val="singleLevel"/>
    <w:tmpl w:val="FE1CD871"/>
    <w:lvl w:ilvl="0" w:tentative="0">
      <w:start w:val="4"/>
      <w:numFmt w:val="upperLetter"/>
      <w:suff w:val="space"/>
      <w:lvlText w:val="%1)"/>
      <w:lvlJc w:val="left"/>
      <w:rPr>
        <w:rFonts w:hint="default"/>
        <w:b/>
        <w:bCs/>
      </w:rPr>
    </w:lvl>
  </w:abstractNum>
  <w:abstractNum w:abstractNumId="2">
    <w:nsid w:val="02FC21C1"/>
    <w:multiLevelType w:val="multilevel"/>
    <w:tmpl w:val="02FC21C1"/>
    <w:lvl w:ilvl="0" w:tentative="0">
      <w:start w:val="2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B07A7"/>
    <w:multiLevelType w:val="singleLevel"/>
    <w:tmpl w:val="307B07A7"/>
    <w:lvl w:ilvl="0" w:tentative="0">
      <w:start w:val="10"/>
      <w:numFmt w:val="upperLetter"/>
      <w:suff w:val="space"/>
      <w:lvlText w:val="%1)"/>
      <w:lvlJc w:val="left"/>
      <w:rPr>
        <w:rFonts w:hint="default"/>
        <w:b/>
        <w:bCs/>
      </w:rPr>
    </w:lvl>
  </w:abstractNum>
  <w:abstractNum w:abstractNumId="4">
    <w:nsid w:val="434165B6"/>
    <w:multiLevelType w:val="multilevel"/>
    <w:tmpl w:val="434165B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914DA"/>
    <w:multiLevelType w:val="singleLevel"/>
    <w:tmpl w:val="6F4914D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6"/>
        <w:szCs w:val="16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210B51"/>
    <w:rsid w:val="0024797F"/>
    <w:rsid w:val="003E360E"/>
    <w:rsid w:val="0042073A"/>
    <w:rsid w:val="005878C6"/>
    <w:rsid w:val="00746175"/>
    <w:rsid w:val="008D205C"/>
    <w:rsid w:val="00A6295A"/>
    <w:rsid w:val="00B83FAF"/>
    <w:rsid w:val="00C1150E"/>
    <w:rsid w:val="00E221C0"/>
    <w:rsid w:val="00E82AA9"/>
    <w:rsid w:val="00F50DA1"/>
    <w:rsid w:val="21050387"/>
    <w:rsid w:val="219E7210"/>
    <w:rsid w:val="2E594B20"/>
    <w:rsid w:val="52D3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7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Citação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Citação Intensa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4"/>
    <w:qFormat/>
    <w:uiPriority w:val="99"/>
  </w:style>
  <w:style w:type="character" w:customStyle="1" w:styleId="37">
    <w:name w:val="Rodapé Char"/>
    <w:basedOn w:val="11"/>
    <w:link w:val="15"/>
    <w:qFormat/>
    <w:uiPriority w:val="99"/>
  </w:style>
  <w:style w:type="paragraph" w:customStyle="1" w:styleId="38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39">
    <w:name w:val="normaltextrun"/>
    <w:basedOn w:val="11"/>
    <w:qFormat/>
    <w:uiPriority w:val="0"/>
  </w:style>
  <w:style w:type="character" w:customStyle="1" w:styleId="40">
    <w:name w:val="eop"/>
    <w:basedOn w:val="11"/>
    <w:qFormat/>
    <w:uiPriority w:val="0"/>
  </w:style>
  <w:style w:type="table" w:customStyle="1" w:styleId="41">
    <w:name w:val="_Style 25"/>
    <w:basedOn w:val="42"/>
    <w:qFormat/>
    <w:uiPriority w:val="0"/>
    <w:rPr>
      <w:vertAlign w:val="baseli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Table Normal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0114BE91-D2AE-46B4-A090-CF9E53F9E0E0}">
  <ds:schemaRefs/>
</ds:datastoreItem>
</file>

<file path=customXml/itemProps2.xml><?xml version="1.0" encoding="utf-8"?>
<ds:datastoreItem xmlns:ds="http://schemas.openxmlformats.org/officeDocument/2006/customXml" ds:itemID="{06FE4BBA-62BD-4B52-A1E3-51A9D96410D3}">
  <ds:schemaRefs/>
</ds:datastoreItem>
</file>

<file path=customXml/itemProps3.xml><?xml version="1.0" encoding="utf-8"?>
<ds:datastoreItem xmlns:ds="http://schemas.openxmlformats.org/officeDocument/2006/customXml" ds:itemID="{C0F77D3F-7B69-457D-B217-FBA4F1DCDF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697</Words>
  <Characters>3765</Characters>
  <Lines>31</Lines>
  <Paragraphs>8</Paragraphs>
  <TotalTime>1</TotalTime>
  <ScaleCrop>false</ScaleCrop>
  <LinksUpToDate>false</LinksUpToDate>
  <CharactersWithSpaces>4454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2025-12-09T14:19:00Z</dcterms:created>
  <dc:creator>Lauriana Martins Vinha</dc:creator>
  <cp:lastModifiedBy>Prefeitura</cp:lastModifiedBy>
  <dcterms:modified xsi:type="dcterms:W3CDTF">2026-04-30T14:54:01Z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2DFD3EB358FA45A6A4A573BE64809350_12</vt:lpwstr>
  </property>
</Properties>
</file>